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B0" w:rsidRDefault="00541163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Dr. </w:t>
      </w:r>
    </w:p>
    <w:p w:rsidR="00D57BB0" w:rsidRDefault="00541163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Dr. </w:t>
      </w:r>
    </w:p>
    <w:p w:rsidR="00D57BB0" w:rsidRDefault="00541163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Presentes</w:t>
      </w:r>
    </w:p>
    <w:p w:rsidR="00D57BB0" w:rsidRDefault="00541163">
      <w:pPr>
        <w:ind w:left="0" w:right="332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Director</w:t>
      </w:r>
    </w:p>
    <w:p w:rsidR="00D57BB0" w:rsidRDefault="00541163">
      <w:pPr>
        <w:ind w:left="0" w:right="332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Dr. </w:t>
      </w:r>
    </w:p>
    <w:p w:rsidR="00D57BB0" w:rsidRDefault="00D57BB0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</w:p>
    <w:p w:rsidR="00D57BB0" w:rsidRDefault="00D57BB0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</w:p>
    <w:p w:rsidR="00D57BB0" w:rsidRDefault="00541163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comité académico del Posgrado en Ciencias Biológicas los ha designado miembros del comité </w:t>
      </w:r>
      <w:proofErr w:type="spellStart"/>
      <w:r>
        <w:rPr>
          <w:rFonts w:ascii="Arial" w:eastAsia="Arial" w:hAnsi="Arial" w:cs="Arial"/>
          <w:sz w:val="20"/>
          <w:szCs w:val="20"/>
        </w:rPr>
        <w:t>tutoral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b/>
          <w:sz w:val="20"/>
          <w:szCs w:val="20"/>
        </w:rPr>
        <w:t xml:space="preserve">__________________ </w:t>
      </w:r>
      <w:r>
        <w:rPr>
          <w:rFonts w:ascii="Arial" w:eastAsia="Arial" w:hAnsi="Arial" w:cs="Arial"/>
          <w:sz w:val="20"/>
          <w:szCs w:val="20"/>
        </w:rPr>
        <w:t xml:space="preserve">quien desarrollará durante sus estudios de Doctorado en Ciencias Biológicas el proyecto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</w:t>
      </w:r>
      <w:r>
        <w:rPr>
          <w:rFonts w:ascii="Arial" w:eastAsia="Arial" w:hAnsi="Arial" w:cs="Arial"/>
          <w:b/>
          <w:sz w:val="20"/>
          <w:szCs w:val="20"/>
        </w:rPr>
        <w:t>”.</w:t>
      </w:r>
    </w:p>
    <w:p w:rsidR="00D57BB0" w:rsidRDefault="00D57BB0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</w:p>
    <w:p w:rsidR="00D57BB0" w:rsidRDefault="00541163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1.-El comité </w:t>
      </w:r>
      <w:proofErr w:type="spellStart"/>
      <w:r>
        <w:rPr>
          <w:rFonts w:ascii="Arial" w:eastAsia="Arial" w:hAnsi="Arial" w:cs="Arial"/>
          <w:sz w:val="20"/>
          <w:szCs w:val="20"/>
        </w:rPr>
        <w:t>tutoral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es el cuerpo colegiado que asesora, guía y supervisa al alumno(a) en el desarrollo de sus actividades académicas y proyecto de investigación. Por tal motivo, deberá reuni</w:t>
      </w:r>
      <w:r>
        <w:rPr>
          <w:rFonts w:ascii="Arial" w:eastAsia="Arial" w:hAnsi="Arial" w:cs="Arial"/>
          <w:sz w:val="20"/>
          <w:szCs w:val="20"/>
        </w:rPr>
        <w:t xml:space="preserve">rse con el (la) estudiante, al menos una vez al final de cada semestre, para evaluar formalmente el avance de su proyecto de investigación y definir las metas para el siguiente semestre, según lo juzgue necesario, o bien a solicitud del estudiante. En las </w:t>
      </w:r>
      <w:r>
        <w:rPr>
          <w:rFonts w:ascii="Arial" w:eastAsia="Arial" w:hAnsi="Arial" w:cs="Arial"/>
          <w:sz w:val="20"/>
          <w:szCs w:val="20"/>
        </w:rPr>
        <w:t>sesiones de tutoría el (la) estudiante presentará y discutirá con sus tutores los avances de su proyecto de investigación.</w:t>
      </w:r>
    </w:p>
    <w:p w:rsidR="00D57BB0" w:rsidRDefault="00D57BB0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</w:p>
    <w:p w:rsidR="00D57BB0" w:rsidRDefault="00541163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2.- Una vez que el Comité Académico ha designado al Comité </w:t>
      </w:r>
      <w:proofErr w:type="spellStart"/>
      <w:r>
        <w:rPr>
          <w:rFonts w:ascii="Arial" w:eastAsia="Arial" w:hAnsi="Arial" w:cs="Arial"/>
          <w:sz w:val="20"/>
          <w:szCs w:val="20"/>
        </w:rPr>
        <w:t>Tutoral</w:t>
      </w:r>
      <w:proofErr w:type="spellEnd"/>
      <w:r>
        <w:rPr>
          <w:rFonts w:ascii="Arial" w:eastAsia="Arial" w:hAnsi="Arial" w:cs="Arial"/>
          <w:sz w:val="20"/>
          <w:szCs w:val="20"/>
        </w:rPr>
        <w:t>, el (la) estudiante deberá reunirse con éste para la presentación</w:t>
      </w:r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tutoral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cero, que consiste en: a) dar a conocer el proyecto de investigación, b) en su caso, atender las observaciones hechas al proyecto por el comité de admisión, c) hacer los ajustes al proyecto, y d) enviar al comité académico su respuesta formal </w:t>
      </w:r>
      <w:r>
        <w:rPr>
          <w:rFonts w:ascii="Arial" w:eastAsia="Arial" w:hAnsi="Arial" w:cs="Arial"/>
          <w:sz w:val="20"/>
          <w:szCs w:val="20"/>
        </w:rPr>
        <w:t xml:space="preserve">sobre las recomendaciones del Comité de Admisión. </w:t>
      </w:r>
    </w:p>
    <w:p w:rsidR="00D57BB0" w:rsidRDefault="00D57BB0">
      <w:pPr>
        <w:ind w:left="0" w:right="332" w:hanging="2"/>
        <w:jc w:val="both"/>
        <w:rPr>
          <w:rFonts w:ascii="Arial" w:eastAsia="Arial" w:hAnsi="Arial" w:cs="Arial"/>
          <w:u w:val="single"/>
        </w:rPr>
      </w:pPr>
    </w:p>
    <w:p w:rsidR="00D57BB0" w:rsidRDefault="00541163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3.- Durante la evaluación semestral del avance de resultados de los (a) estudiantes de Doctorado, el Comité </w:t>
      </w:r>
      <w:proofErr w:type="spellStart"/>
      <w:r>
        <w:rPr>
          <w:rFonts w:ascii="Arial" w:eastAsia="Arial" w:hAnsi="Arial" w:cs="Arial"/>
          <w:sz w:val="20"/>
          <w:szCs w:val="20"/>
        </w:rPr>
        <w:t>Tutoral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considerará el avance de su proyecto, su capacidad para conducirlo de manera responsable</w:t>
      </w:r>
      <w:r>
        <w:rPr>
          <w:rFonts w:ascii="Arial" w:eastAsia="Arial" w:hAnsi="Arial" w:cs="Arial"/>
          <w:sz w:val="20"/>
          <w:szCs w:val="20"/>
        </w:rPr>
        <w:t xml:space="preserve"> y profesional y el desempeño en las actividades académicas asignadas para cada semestre. Las recomendaciones se explicitarán en un acta emitida por el Comité </w:t>
      </w:r>
      <w:proofErr w:type="spellStart"/>
      <w:r>
        <w:rPr>
          <w:rFonts w:ascii="Arial" w:eastAsia="Arial" w:hAnsi="Arial" w:cs="Arial"/>
          <w:sz w:val="20"/>
          <w:szCs w:val="20"/>
        </w:rPr>
        <w:t>Tutoral</w:t>
      </w:r>
      <w:proofErr w:type="spellEnd"/>
      <w:r>
        <w:rPr>
          <w:rFonts w:ascii="Arial" w:eastAsia="Arial" w:hAnsi="Arial" w:cs="Arial"/>
          <w:sz w:val="20"/>
          <w:szCs w:val="20"/>
        </w:rPr>
        <w:t>, la cual se enviará al Comité Académico para su conocimiento y para decidir sobre la perm</w:t>
      </w:r>
      <w:r>
        <w:rPr>
          <w:rFonts w:ascii="Arial" w:eastAsia="Arial" w:hAnsi="Arial" w:cs="Arial"/>
          <w:sz w:val="20"/>
          <w:szCs w:val="20"/>
        </w:rPr>
        <w:t xml:space="preserve">anencia del (a) estudiante en el programa. Esta información será integrada al expediente del estudiante. </w:t>
      </w:r>
    </w:p>
    <w:p w:rsidR="00D57BB0" w:rsidRDefault="00D57BB0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</w:p>
    <w:p w:rsidR="00D57BB0" w:rsidRDefault="00541163">
      <w:pPr>
        <w:ind w:left="0" w:right="332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Agradezco el apoyo que brinden a los alumnos y al Doctorado en Ciencias Biológicas.</w:t>
      </w:r>
    </w:p>
    <w:p w:rsidR="00D57BB0" w:rsidRDefault="00D57BB0">
      <w:pPr>
        <w:ind w:left="0" w:right="332" w:hanging="2"/>
        <w:jc w:val="center"/>
        <w:rPr>
          <w:sz w:val="20"/>
          <w:szCs w:val="20"/>
        </w:rPr>
      </w:pPr>
    </w:p>
    <w:p w:rsidR="00D57BB0" w:rsidRDefault="00D57BB0">
      <w:pPr>
        <w:ind w:left="0" w:right="332" w:hanging="2"/>
        <w:jc w:val="center"/>
        <w:rPr>
          <w:rFonts w:ascii="Arial" w:eastAsia="Arial" w:hAnsi="Arial" w:cs="Arial"/>
          <w:sz w:val="20"/>
          <w:szCs w:val="20"/>
        </w:rPr>
      </w:pPr>
    </w:p>
    <w:p w:rsidR="00D57BB0" w:rsidRDefault="00541163">
      <w:pPr>
        <w:ind w:left="0" w:right="332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Atentamente</w:t>
      </w:r>
    </w:p>
    <w:p w:rsidR="00D57BB0" w:rsidRDefault="00541163">
      <w:pPr>
        <w:ind w:left="0" w:right="332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 la Cultura a la Justicia Social</w:t>
      </w:r>
    </w:p>
    <w:p w:rsidR="00D57BB0" w:rsidRDefault="00541163">
      <w:pPr>
        <w:ind w:left="0" w:right="332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Tlaxcala, </w:t>
      </w:r>
      <w:proofErr w:type="spellStart"/>
      <w:r>
        <w:rPr>
          <w:rFonts w:ascii="Arial" w:eastAsia="Arial" w:hAnsi="Arial" w:cs="Arial"/>
          <w:sz w:val="20"/>
          <w:szCs w:val="20"/>
        </w:rPr>
        <w:t>TlaX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., </w:t>
      </w:r>
      <w:r>
        <w:rPr>
          <w:rFonts w:ascii="Arial" w:eastAsia="Arial" w:hAnsi="Arial" w:cs="Arial"/>
          <w:sz w:val="20"/>
          <w:szCs w:val="20"/>
        </w:rPr>
        <w:t>_</w:t>
      </w:r>
      <w:proofErr w:type="gramStart"/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  <w:u w:val="single"/>
        </w:rPr>
        <w:t>(</w:t>
      </w:r>
      <w:proofErr w:type="gramEnd"/>
      <w:r>
        <w:rPr>
          <w:rFonts w:ascii="Arial" w:eastAsia="Arial" w:hAnsi="Arial" w:cs="Arial"/>
          <w:sz w:val="20"/>
          <w:szCs w:val="20"/>
          <w:u w:val="single"/>
        </w:rPr>
        <w:t>mes)</w:t>
      </w:r>
      <w:r>
        <w:rPr>
          <w:rFonts w:ascii="Arial" w:eastAsia="Arial" w:hAnsi="Arial" w:cs="Arial"/>
          <w:sz w:val="20"/>
          <w:szCs w:val="20"/>
        </w:rPr>
        <w:t>__ __</w:t>
      </w:r>
      <w:r>
        <w:rPr>
          <w:rFonts w:ascii="Arial" w:eastAsia="Arial" w:hAnsi="Arial" w:cs="Arial"/>
          <w:sz w:val="20"/>
          <w:szCs w:val="20"/>
          <w:u w:val="single"/>
        </w:rPr>
        <w:t>(día)</w:t>
      </w:r>
      <w:r>
        <w:rPr>
          <w:rFonts w:ascii="Arial" w:eastAsia="Arial" w:hAnsi="Arial" w:cs="Arial"/>
          <w:sz w:val="20"/>
          <w:szCs w:val="20"/>
        </w:rPr>
        <w:t>__ de 20___</w:t>
      </w:r>
    </w:p>
    <w:p w:rsidR="00D57BB0" w:rsidRDefault="00D57BB0">
      <w:pPr>
        <w:ind w:left="0" w:right="332" w:hanging="2"/>
        <w:jc w:val="center"/>
        <w:rPr>
          <w:rFonts w:ascii="Arial" w:eastAsia="Arial" w:hAnsi="Arial" w:cs="Arial"/>
          <w:sz w:val="20"/>
          <w:szCs w:val="20"/>
        </w:rPr>
      </w:pPr>
    </w:p>
    <w:p w:rsidR="00D57BB0" w:rsidRDefault="00D57BB0">
      <w:pPr>
        <w:ind w:left="0" w:right="332" w:hanging="2"/>
        <w:jc w:val="center"/>
        <w:rPr>
          <w:rFonts w:ascii="Arial" w:eastAsia="Arial" w:hAnsi="Arial" w:cs="Arial"/>
          <w:sz w:val="20"/>
          <w:szCs w:val="20"/>
        </w:rPr>
      </w:pPr>
    </w:p>
    <w:p w:rsidR="00D57BB0" w:rsidRDefault="00D57BB0">
      <w:pPr>
        <w:ind w:left="0" w:right="332" w:hanging="2"/>
        <w:jc w:val="center"/>
        <w:rPr>
          <w:rFonts w:ascii="Arial" w:eastAsia="Arial" w:hAnsi="Arial" w:cs="Arial"/>
          <w:sz w:val="20"/>
          <w:szCs w:val="20"/>
        </w:rPr>
      </w:pPr>
    </w:p>
    <w:p w:rsidR="00D57BB0" w:rsidRDefault="00D57BB0">
      <w:pPr>
        <w:ind w:left="0" w:right="332" w:hanging="2"/>
        <w:jc w:val="center"/>
        <w:rPr>
          <w:rFonts w:ascii="Arial" w:eastAsia="Arial" w:hAnsi="Arial" w:cs="Arial"/>
          <w:sz w:val="20"/>
          <w:szCs w:val="20"/>
        </w:rPr>
      </w:pPr>
    </w:p>
    <w:p w:rsidR="00D57BB0" w:rsidRDefault="00D57BB0">
      <w:pPr>
        <w:ind w:left="0" w:right="332" w:hanging="2"/>
        <w:jc w:val="center"/>
        <w:rPr>
          <w:rFonts w:ascii="Arial" w:eastAsia="Arial" w:hAnsi="Arial" w:cs="Arial"/>
          <w:sz w:val="20"/>
          <w:szCs w:val="20"/>
        </w:rPr>
      </w:pPr>
    </w:p>
    <w:p w:rsidR="00D57BB0" w:rsidRDefault="00541163">
      <w:pPr>
        <w:ind w:left="0" w:right="332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Dra. Estela Cuevas Romero</w:t>
      </w:r>
    </w:p>
    <w:p w:rsidR="00D57BB0" w:rsidRDefault="00541163">
      <w:pPr>
        <w:ind w:left="0" w:right="332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Coord. General Posgrado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en Ciencias Biológicas</w:t>
      </w:r>
    </w:p>
    <w:p w:rsidR="00D57BB0" w:rsidRDefault="00D57BB0">
      <w:pPr>
        <w:ind w:left="0" w:hanging="2"/>
      </w:pPr>
    </w:p>
    <w:p w:rsidR="00D57BB0" w:rsidRDefault="00D57BB0">
      <w:pPr>
        <w:ind w:left="0" w:hanging="2"/>
      </w:pPr>
    </w:p>
    <w:p w:rsidR="00D57BB0" w:rsidRDefault="00D57BB0">
      <w:pPr>
        <w:ind w:left="0" w:hanging="2"/>
      </w:pPr>
    </w:p>
    <w:sectPr w:rsidR="00D57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4" w:right="1418" w:bottom="851" w:left="1418" w:header="85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1163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5411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B0" w:rsidRDefault="00D57B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B0" w:rsidRDefault="00D57BB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11673" w:type="dxa"/>
      <w:tblInd w:w="-976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935"/>
      <w:gridCol w:w="845"/>
      <w:gridCol w:w="893"/>
    </w:tblGrid>
    <w:tr w:rsidR="00D57BB0">
      <w:trPr>
        <w:trHeight w:val="314"/>
      </w:trPr>
      <w:tc>
        <w:tcPr>
          <w:tcW w:w="9935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D57BB0" w:rsidRDefault="00541163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45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D57BB0" w:rsidRDefault="00541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89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D57BB0" w:rsidRDefault="00541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D57BB0" w:rsidRDefault="00541163">
    <w:pPr>
      <w:ind w:left="0" w:hanging="2"/>
      <w:rPr>
        <w:sz w:val="16"/>
        <w:szCs w:val="16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406400</wp:posOffset>
              </wp:positionH>
              <wp:positionV relativeFrom="paragraph">
                <wp:posOffset>774700</wp:posOffset>
              </wp:positionV>
              <wp:extent cx="5219700" cy="12700"/>
              <wp:effectExtent l="0" t="0" r="0" b="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36150" y="3780000"/>
                        <a:ext cx="52197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774700</wp:posOffset>
              </wp:positionV>
              <wp:extent cx="5219700" cy="1270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B0" w:rsidRDefault="00D57B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1163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5411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B0" w:rsidRDefault="00D57B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B0" w:rsidRDefault="0054116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-704849</wp:posOffset>
              </wp:positionH>
              <wp:positionV relativeFrom="paragraph">
                <wp:posOffset>200025</wp:posOffset>
              </wp:positionV>
              <wp:extent cx="579120" cy="66357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7BB0" w:rsidRDefault="00541163" w:rsidP="00B85D61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5" name="Imagen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57BB0" w:rsidRDefault="00D57BB0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-704849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219" w:type="dxa"/>
      <w:tblInd w:w="-748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11"/>
      <w:gridCol w:w="8283"/>
      <w:gridCol w:w="1137"/>
      <w:gridCol w:w="1188"/>
    </w:tblGrid>
    <w:tr w:rsidR="00D57BB0">
      <w:trPr>
        <w:trHeight w:val="367"/>
      </w:trPr>
      <w:tc>
        <w:tcPr>
          <w:tcW w:w="611" w:type="dxa"/>
          <w:vMerge w:val="restart"/>
          <w:shd w:val="clear" w:color="auto" w:fill="auto"/>
          <w:vAlign w:val="center"/>
        </w:tcPr>
        <w:p w:rsidR="00D57BB0" w:rsidRDefault="00541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8283" w:type="dxa"/>
          <w:vMerge w:val="restart"/>
          <w:shd w:val="clear" w:color="auto" w:fill="auto"/>
        </w:tcPr>
        <w:p w:rsidR="00D57BB0" w:rsidRDefault="00541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D57BB0" w:rsidRDefault="00541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D57BB0" w:rsidRDefault="00541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D57BB0" w:rsidRDefault="00541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D57BB0" w:rsidRDefault="00541163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Registro: Notificación de Comité </w:t>
          </w:r>
          <w:proofErr w:type="spellStart"/>
          <w:r>
            <w:rPr>
              <w:b/>
              <w:color w:val="000000"/>
              <w:sz w:val="20"/>
              <w:szCs w:val="20"/>
            </w:rPr>
            <w:t>Tutoral</w:t>
          </w:r>
          <w:proofErr w:type="spellEnd"/>
        </w:p>
      </w:tc>
      <w:tc>
        <w:tcPr>
          <w:tcW w:w="1137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D57BB0" w:rsidRDefault="00541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88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D57BB0" w:rsidRDefault="00541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503-RGP- 26</w:t>
          </w:r>
        </w:p>
      </w:tc>
    </w:tr>
    <w:tr w:rsidR="00D57BB0">
      <w:trPr>
        <w:trHeight w:val="367"/>
      </w:trPr>
      <w:tc>
        <w:tcPr>
          <w:tcW w:w="611" w:type="dxa"/>
          <w:vMerge/>
          <w:shd w:val="clear" w:color="auto" w:fill="auto"/>
          <w:vAlign w:val="center"/>
        </w:tcPr>
        <w:p w:rsidR="00D57BB0" w:rsidRDefault="00D57B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283" w:type="dxa"/>
          <w:vMerge/>
          <w:shd w:val="clear" w:color="auto" w:fill="auto"/>
        </w:tcPr>
        <w:p w:rsidR="00D57BB0" w:rsidRDefault="00D57B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37" w:type="dxa"/>
          <w:tcBorders>
            <w:top w:val="nil"/>
          </w:tcBorders>
          <w:shd w:val="clear" w:color="auto" w:fill="auto"/>
          <w:vAlign w:val="center"/>
        </w:tcPr>
        <w:p w:rsidR="00D57BB0" w:rsidRDefault="00541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88" w:type="dxa"/>
          <w:tcBorders>
            <w:top w:val="nil"/>
          </w:tcBorders>
          <w:shd w:val="clear" w:color="auto" w:fill="D9D9D9"/>
          <w:vAlign w:val="center"/>
        </w:tcPr>
        <w:p w:rsidR="00D57BB0" w:rsidRDefault="00541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D57BB0" w:rsidRDefault="00D57BB0">
    <w:pPr>
      <w:tabs>
        <w:tab w:val="left" w:pos="720"/>
      </w:tabs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B0" w:rsidRDefault="00D57B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B0"/>
    <w:rsid w:val="00541163"/>
    <w:rsid w:val="00D5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613133-7202-4CC3-9CAE-62CF8A12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i/>
      <w:iCs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6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character" w:customStyle="1" w:styleId="Ttulo5Car">
    <w:name w:val="Título 5 C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2nXrT9ZJxwHr/Vezwua+n+WkA==">AMUW2mVzGYQnwVUHp2YVWtT9visR4L01Q8k5N+zUoi3/GoIiL1xycIaCqQzc0DG8rfn3O5zwhqui0vOpRuikcKZegNE4lsd5US39vuY+ULXBoYzs9WdMFh0=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rebeca</cp:lastModifiedBy>
  <cp:revision>2</cp:revision>
  <dcterms:created xsi:type="dcterms:W3CDTF">2020-10-18T18:29:00Z</dcterms:created>
  <dcterms:modified xsi:type="dcterms:W3CDTF">2023-02-27T17:32:00Z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-2089599675</vt:i4>
  </property>
  <property fmtid="{D5CDD505-2E9C-101B-9397-08002B2CF9AE}" pid="3" name="_EmailSubject">
    <vt:lpwstr>Carpeta Maestría CB</vt:lpwstr>
  </property>
  <property fmtid="{D5CDD505-2E9C-101B-9397-08002B2CF9AE}" pid="4" name="_AuthorEmail">
    <vt:lpwstr>lourdesac@cci.uatx.mx</vt:lpwstr>
  </property>
  <property fmtid="{D5CDD505-2E9C-101B-9397-08002B2CF9AE}" pid="5" name="_AuthorEmailDisplayName">
    <vt:lpwstr>Lourdes Arteaga Castañeda</vt:lpwstr>
  </property>
  <property fmtid="{D5CDD505-2E9C-101B-9397-08002B2CF9AE}" pid="6" name="_ReviewingToolsShownOnce">
    <vt:lpwstr/>
  </property>
</Properties>
</file>